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10800" w:type="dxa"/>
        <w:shd w:val="clear" w:color="auto" w:fill="FFFFFF"/>
        <w:tblLook w:val="04A0" w:firstRow="1" w:lastRow="0" w:firstColumn="1" w:lastColumn="0" w:noHBand="0" w:noVBand="1"/>
      </w:tblPr>
      <w:tblGrid>
        <w:gridCol w:w="10800"/>
      </w:tblGrid>
      <w:tr w:rsidR="005C32A8" w:rsidTr="005C32A8">
        <w:trPr>
          <w:trHeight w:val="699"/>
        </w:trPr>
        <w:tc>
          <w:tcPr>
            <w:tcW w:w="10800" w:type="dxa"/>
            <w:shd w:val="clear" w:color="auto" w:fill="FFFFFF"/>
            <w:vAlign w:val="center"/>
            <w:hideMark/>
          </w:tcPr>
          <w:p w:rsidR="005C32A8" w:rsidRDefault="005C32A8">
            <w:pPr>
              <w:pStyle w:val="NormalWeb"/>
              <w:shd w:val="clear" w:color="auto" w:fill="FFFFFF"/>
              <w:jc w:val="center"/>
              <w:rPr>
                <w:color w:val="3B204D"/>
              </w:rPr>
            </w:pPr>
            <w:r>
              <w:rPr>
                <w:b/>
                <w:bCs/>
                <w:color w:val="2E74B5"/>
                <w:sz w:val="28"/>
                <w:szCs w:val="28"/>
                <w:bdr w:val="none" w:sz="0" w:space="0" w:color="auto" w:frame="1"/>
              </w:rPr>
              <w:t>THÔNG BÁO CHÍNH SÁCH THƯỞNG BÁN ĐƯỜNG BAY</w:t>
            </w:r>
            <w:r>
              <w:rPr>
                <w:rStyle w:val="apple-converted-space"/>
                <w:b/>
                <w:bCs/>
                <w:color w:val="2E74B5"/>
                <w:sz w:val="28"/>
                <w:szCs w:val="28"/>
                <w:bdr w:val="none" w:sz="0" w:space="0" w:color="auto" w:frame="1"/>
              </w:rPr>
              <w:t> </w:t>
            </w:r>
            <w:r>
              <w:rPr>
                <w:b/>
                <w:bCs/>
                <w:color w:val="2E74B5"/>
                <w:sz w:val="28"/>
                <w:szCs w:val="28"/>
                <w:bdr w:val="none" w:sz="0" w:space="0" w:color="auto" w:frame="1"/>
              </w:rPr>
              <w:br/>
              <w:t>HÀ NỘI/HẢI PHÒNG/VINH - CÔN ĐẢO TỪ 19/09/2020 </w:t>
            </w:r>
          </w:p>
        </w:tc>
      </w:tr>
    </w:tbl>
    <w:p w:rsidR="005C32A8" w:rsidRDefault="005C32A8" w:rsidP="005C32A8">
      <w:pPr>
        <w:pStyle w:val="xxmsonormal"/>
        <w:shd w:val="clear" w:color="auto" w:fill="FFFFFF"/>
        <w:spacing w:line="286" w:lineRule="atLeast"/>
        <w:jc w:val="both"/>
        <w:rPr>
          <w:rFonts w:ascii="Calibri" w:hAnsi="Calibri" w:cs="Calibri"/>
          <w:color w:val="000000"/>
          <w:sz w:val="22"/>
          <w:szCs w:val="22"/>
        </w:rPr>
      </w:pPr>
      <w:r>
        <w:rPr>
          <w:b/>
          <w:bCs/>
          <w:color w:val="000000"/>
          <w:bdr w:val="none" w:sz="0" w:space="0" w:color="auto" w:frame="1"/>
          <w:lang w:val="en-GB"/>
        </w:rPr>
        <w:t> </w:t>
      </w: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r>
        <w:rPr>
          <w:b/>
          <w:bCs/>
          <w:color w:val="000000"/>
          <w:bdr w:val="none" w:sz="0" w:space="0" w:color="auto" w:frame="1"/>
          <w:lang w:val="en-GB"/>
        </w:rPr>
        <w:t>Kính gửi</w:t>
      </w:r>
      <w:r>
        <w:rPr>
          <w:color w:val="000000"/>
          <w:bdr w:val="none" w:sz="0" w:space="0" w:color="auto" w:frame="1"/>
          <w:lang w:val="en-GB"/>
        </w:rPr>
        <w:t>: Quý Đại lý,                                                                       </w:t>
      </w:r>
      <w:r>
        <w:rPr>
          <w:color w:val="000000"/>
        </w:rPr>
        <w:t> </w:t>
      </w:r>
    </w:p>
    <w:p w:rsidR="005C32A8" w:rsidRDefault="005C32A8" w:rsidP="005C32A8">
      <w:pPr>
        <w:pStyle w:val="xxmsonormal"/>
        <w:shd w:val="clear" w:color="auto" w:fill="FFFFFF"/>
        <w:spacing w:line="330" w:lineRule="atLeast"/>
        <w:jc w:val="both"/>
        <w:rPr>
          <w:rFonts w:ascii="Calibri" w:hAnsi="Calibri" w:cs="Calibri"/>
          <w:color w:val="000000"/>
          <w:sz w:val="22"/>
          <w:szCs w:val="22"/>
        </w:rPr>
      </w:pPr>
      <w:r>
        <w:rPr>
          <w:color w:val="000000"/>
          <w:bdr w:val="none" w:sz="0" w:space="0" w:color="auto" w:frame="1"/>
          <w:lang w:val="en-GB"/>
        </w:rPr>
        <w:t>Bamboo Airways xin gửi lời chào và lời cảm ơn trân trọng về sự hợp tác và đồng hành của Quý Đại lý trong thời gian qua. Để tiếp tục hỗ trợ Đại lý, Bamboo Airways trân trọng gửi tới Quý Đại lý CHÍNH SÁCH THƯỞNG BÁN ĐƯỜNG BAY CÔN ĐẢO cho giai đoạn</w:t>
      </w:r>
      <w:r>
        <w:rPr>
          <w:rStyle w:val="apple-converted-space"/>
          <w:color w:val="000000"/>
          <w:bdr w:val="none" w:sz="0" w:space="0" w:color="auto" w:frame="1"/>
          <w:lang w:val="en-GB"/>
        </w:rPr>
        <w:t> </w:t>
      </w:r>
      <w:r>
        <w:rPr>
          <w:b/>
          <w:bCs/>
          <w:color w:val="000000"/>
          <w:bdr w:val="none" w:sz="0" w:space="0" w:color="auto" w:frame="1"/>
          <w:lang w:val="en-GB"/>
        </w:rPr>
        <w:t>từ</w:t>
      </w:r>
      <w:r>
        <w:rPr>
          <w:rStyle w:val="apple-converted-space"/>
          <w:b/>
          <w:bCs/>
          <w:color w:val="000000"/>
          <w:lang w:val="en-GB"/>
        </w:rPr>
        <w:t> </w:t>
      </w:r>
      <w:r>
        <w:rPr>
          <w:b/>
          <w:bCs/>
          <w:color w:val="000000"/>
        </w:rPr>
        <w:t>19/09/2020.</w:t>
      </w:r>
      <w:r>
        <w:rPr>
          <w:rStyle w:val="apple-converted-space"/>
          <w:b/>
          <w:bCs/>
          <w:color w:val="000000"/>
        </w:rPr>
        <w:t> </w:t>
      </w:r>
      <w:r>
        <w:rPr>
          <w:color w:val="000000"/>
          <w:bdr w:val="none" w:sz="0" w:space="0" w:color="auto" w:frame="1"/>
          <w:lang w:val="en-GB"/>
        </w:rPr>
        <w:t>Nội dung chi tiết như sau:</w:t>
      </w:r>
      <w:r>
        <w:rPr>
          <w:color w:val="000000"/>
        </w:rPr>
        <w:t> </w:t>
      </w:r>
    </w:p>
    <w:p w:rsidR="005C32A8" w:rsidRDefault="005C32A8" w:rsidP="005C32A8">
      <w:pPr>
        <w:pStyle w:val="xxmsolistparagraph"/>
        <w:spacing w:line="330" w:lineRule="atLeast"/>
        <w:ind w:left="284" w:hanging="29"/>
        <w:jc w:val="both"/>
        <w:rPr>
          <w:rFonts w:ascii="Calibri" w:hAnsi="Calibri" w:cs="Calibri"/>
          <w:color w:val="000000"/>
          <w:sz w:val="22"/>
          <w:szCs w:val="22"/>
        </w:rPr>
      </w:pPr>
      <w:r>
        <w:rPr>
          <w:b/>
          <w:bCs/>
          <w:color w:val="000000"/>
          <w:lang w:val="pt-BR"/>
        </w:rPr>
        <w:t>1.    Thời gian áp dụng</w:t>
      </w:r>
      <w:r>
        <w:rPr>
          <w:color w:val="000000"/>
        </w:rPr>
        <w:t> </w:t>
      </w:r>
    </w:p>
    <w:p w:rsidR="005C32A8" w:rsidRDefault="005C32A8" w:rsidP="005C32A8">
      <w:pPr>
        <w:pStyle w:val="xxmsolistparagraph"/>
        <w:spacing w:line="330" w:lineRule="atLeast"/>
        <w:ind w:left="165" w:firstLine="90"/>
        <w:rPr>
          <w:rFonts w:ascii="Calibri" w:hAnsi="Calibri" w:cs="Calibri"/>
          <w:color w:val="000000"/>
          <w:sz w:val="22"/>
          <w:szCs w:val="22"/>
        </w:rPr>
      </w:pPr>
      <w:r>
        <w:rPr>
          <w:color w:val="000000"/>
          <w:lang w:val="pt-BR"/>
        </w:rPr>
        <w:t>Áp dụng cho vé bán được xuất trong giai đoạn t</w:t>
      </w:r>
      <w:r>
        <w:rPr>
          <w:color w:val="000000"/>
        </w:rPr>
        <w:t>ừ 19/09/2020 cho đến khi có thông báo tiếp theo. </w:t>
      </w:r>
    </w:p>
    <w:p w:rsidR="005C32A8" w:rsidRDefault="005C32A8" w:rsidP="005C32A8">
      <w:pPr>
        <w:pStyle w:val="xxmsolistparagraph"/>
        <w:spacing w:line="330" w:lineRule="atLeast"/>
        <w:ind w:left="284" w:hanging="29"/>
        <w:jc w:val="both"/>
        <w:rPr>
          <w:rFonts w:ascii="Calibri" w:hAnsi="Calibri" w:cs="Calibri"/>
          <w:color w:val="000000"/>
          <w:sz w:val="22"/>
          <w:szCs w:val="22"/>
        </w:rPr>
      </w:pPr>
      <w:r>
        <w:rPr>
          <w:b/>
          <w:bCs/>
          <w:color w:val="000000"/>
          <w:lang w:val="pt-BR"/>
        </w:rPr>
        <w:t>2.    Chính sách thưởng</w:t>
      </w:r>
      <w:r>
        <w:rPr>
          <w:color w:val="000000"/>
        </w:rPr>
        <w:t> </w:t>
      </w:r>
    </w:p>
    <w:p w:rsidR="005C32A8" w:rsidRDefault="005C32A8" w:rsidP="005C32A8">
      <w:pPr>
        <w:pStyle w:val="xmsonormal"/>
        <w:spacing w:line="252" w:lineRule="atLeast"/>
        <w:ind w:left="615"/>
        <w:rPr>
          <w:color w:val="000000"/>
        </w:rPr>
      </w:pPr>
      <w:r>
        <w:rPr>
          <w:b/>
          <w:bCs/>
          <w:color w:val="000000"/>
        </w:rPr>
        <w:t>Thưởng vé FOC cho hệ thống kênh bán đại lý </w:t>
      </w:r>
    </w:p>
    <w:tbl>
      <w:tblPr>
        <w:tblW w:w="4050" w:type="pct"/>
        <w:tblInd w:w="585" w:type="dxa"/>
        <w:tblLook w:val="04A0" w:firstRow="1" w:lastRow="0" w:firstColumn="1" w:lastColumn="0" w:noHBand="0" w:noVBand="1"/>
      </w:tblPr>
      <w:tblGrid>
        <w:gridCol w:w="1681"/>
        <w:gridCol w:w="1681"/>
        <w:gridCol w:w="1911"/>
        <w:gridCol w:w="2292"/>
      </w:tblGrid>
      <w:tr w:rsidR="005C32A8" w:rsidTr="005C32A8">
        <w:trPr>
          <w:trHeight w:val="589"/>
        </w:trPr>
        <w:tc>
          <w:tcPr>
            <w:tcW w:w="1100" w:type="pct"/>
            <w:vMerge w:val="restart"/>
            <w:tcBorders>
              <w:top w:val="single" w:sz="8" w:space="0" w:color="auto"/>
              <w:left w:val="single" w:sz="8" w:space="0" w:color="auto"/>
              <w:bottom w:val="single" w:sz="8" w:space="0" w:color="auto"/>
              <w:right w:val="single" w:sz="8" w:space="0" w:color="auto"/>
            </w:tcBorders>
            <w:vAlign w:val="center"/>
            <w:hideMark/>
          </w:tcPr>
          <w:p w:rsidR="005C32A8" w:rsidRDefault="005C32A8">
            <w:pPr>
              <w:pStyle w:val="xmsonormal"/>
              <w:jc w:val="center"/>
            </w:pPr>
            <w:r>
              <w:rPr>
                <w:b/>
                <w:bCs/>
              </w:rPr>
              <w:t>Đường bay</w:t>
            </w:r>
            <w:r>
              <w:rPr>
                <w:b/>
                <w:bCs/>
                <w:color w:val="000000"/>
              </w:rPr>
              <w:t> </w:t>
            </w:r>
          </w:p>
        </w:tc>
        <w:tc>
          <w:tcPr>
            <w:tcW w:w="1100" w:type="pct"/>
            <w:vMerge w:val="restart"/>
            <w:tcBorders>
              <w:top w:val="single" w:sz="8" w:space="0" w:color="auto"/>
              <w:left w:val="nil"/>
              <w:bottom w:val="single" w:sz="8" w:space="0" w:color="auto"/>
              <w:right w:val="single" w:sz="8" w:space="0" w:color="auto"/>
            </w:tcBorders>
            <w:vAlign w:val="center"/>
            <w:hideMark/>
          </w:tcPr>
          <w:p w:rsidR="005C32A8" w:rsidRDefault="005C32A8">
            <w:pPr>
              <w:pStyle w:val="xmsonormal"/>
              <w:jc w:val="center"/>
            </w:pPr>
            <w:r>
              <w:rPr>
                <w:b/>
                <w:bCs/>
              </w:rPr>
              <w:t>Số chặng bay</w:t>
            </w:r>
            <w:r>
              <w:rPr>
                <w:b/>
                <w:bCs/>
                <w:color w:val="000000"/>
              </w:rPr>
              <w:t> </w:t>
            </w:r>
          </w:p>
        </w:tc>
        <w:tc>
          <w:tcPr>
            <w:tcW w:w="2750" w:type="pct"/>
            <w:gridSpan w:val="2"/>
            <w:tcBorders>
              <w:top w:val="single" w:sz="8" w:space="0" w:color="auto"/>
              <w:left w:val="nil"/>
              <w:bottom w:val="single" w:sz="8" w:space="0" w:color="auto"/>
              <w:right w:val="single" w:sz="8" w:space="0" w:color="auto"/>
            </w:tcBorders>
            <w:vAlign w:val="center"/>
            <w:hideMark/>
          </w:tcPr>
          <w:p w:rsidR="005C32A8" w:rsidRDefault="005C32A8">
            <w:pPr>
              <w:pStyle w:val="xmsonormal"/>
              <w:jc w:val="center"/>
            </w:pPr>
            <w:r>
              <w:rPr>
                <w:b/>
                <w:bCs/>
              </w:rPr>
              <w:t>FOC được thưởng</w:t>
            </w:r>
            <w:r>
              <w:rPr>
                <w:b/>
                <w:bCs/>
                <w:color w:val="000000"/>
              </w:rPr>
              <w:t> </w:t>
            </w:r>
          </w:p>
        </w:tc>
      </w:tr>
      <w:tr w:rsidR="005C32A8" w:rsidTr="005C32A8">
        <w:trPr>
          <w:trHeight w:val="5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32A8" w:rsidRDefault="005C32A8"/>
        </w:tc>
        <w:tc>
          <w:tcPr>
            <w:tcW w:w="0" w:type="auto"/>
            <w:vMerge/>
            <w:tcBorders>
              <w:top w:val="single" w:sz="8" w:space="0" w:color="auto"/>
              <w:left w:val="nil"/>
              <w:bottom w:val="single" w:sz="8" w:space="0" w:color="auto"/>
              <w:right w:val="single" w:sz="8" w:space="0" w:color="auto"/>
            </w:tcBorders>
            <w:vAlign w:val="center"/>
            <w:hideMark/>
          </w:tcPr>
          <w:p w:rsidR="005C32A8" w:rsidRDefault="005C32A8"/>
        </w:tc>
        <w:tc>
          <w:tcPr>
            <w:tcW w:w="1250" w:type="pct"/>
            <w:tcBorders>
              <w:top w:val="nil"/>
              <w:left w:val="nil"/>
              <w:bottom w:val="single" w:sz="8" w:space="0" w:color="auto"/>
              <w:right w:val="single" w:sz="8" w:space="0" w:color="auto"/>
            </w:tcBorders>
            <w:vAlign w:val="center"/>
            <w:hideMark/>
          </w:tcPr>
          <w:p w:rsidR="005C32A8" w:rsidRDefault="005C32A8">
            <w:pPr>
              <w:pStyle w:val="xmsonormal"/>
              <w:jc w:val="center"/>
            </w:pPr>
            <w:r>
              <w:rPr>
                <w:b/>
                <w:bCs/>
              </w:rPr>
              <w:t>Chuyên tuyến</w:t>
            </w:r>
            <w:r>
              <w:rPr>
                <w:b/>
                <w:bCs/>
                <w:color w:val="000000"/>
              </w:rPr>
              <w:t> </w:t>
            </w:r>
          </w:p>
        </w:tc>
        <w:tc>
          <w:tcPr>
            <w:tcW w:w="1450" w:type="pct"/>
            <w:tcBorders>
              <w:top w:val="nil"/>
              <w:left w:val="nil"/>
              <w:bottom w:val="single" w:sz="8" w:space="0" w:color="auto"/>
              <w:right w:val="single" w:sz="8" w:space="0" w:color="auto"/>
            </w:tcBorders>
            <w:vAlign w:val="center"/>
            <w:hideMark/>
          </w:tcPr>
          <w:p w:rsidR="005C32A8" w:rsidRDefault="005C32A8">
            <w:pPr>
              <w:pStyle w:val="xmsonormal"/>
              <w:jc w:val="center"/>
            </w:pPr>
            <w:r>
              <w:rPr>
                <w:b/>
                <w:bCs/>
              </w:rPr>
              <w:t>Quy đổi chặng nội địa ngoài VCS</w:t>
            </w:r>
            <w:r>
              <w:rPr>
                <w:b/>
                <w:bCs/>
                <w:color w:val="000000"/>
              </w:rPr>
              <w:t> </w:t>
            </w:r>
          </w:p>
        </w:tc>
      </w:tr>
      <w:tr w:rsidR="005C32A8" w:rsidTr="005C32A8">
        <w:trPr>
          <w:trHeight w:val="439"/>
        </w:trPr>
        <w:tc>
          <w:tcPr>
            <w:tcW w:w="1100" w:type="pct"/>
            <w:tcBorders>
              <w:top w:val="nil"/>
              <w:left w:val="single" w:sz="8" w:space="0" w:color="auto"/>
              <w:bottom w:val="single" w:sz="8" w:space="0" w:color="auto"/>
              <w:right w:val="single" w:sz="8" w:space="0" w:color="auto"/>
            </w:tcBorders>
            <w:vAlign w:val="center"/>
            <w:hideMark/>
          </w:tcPr>
          <w:p w:rsidR="005C32A8" w:rsidRDefault="005C32A8">
            <w:pPr>
              <w:pStyle w:val="xmsonormal"/>
              <w:jc w:val="center"/>
            </w:pPr>
            <w:r>
              <w:t>HAN-VCS</w:t>
            </w:r>
            <w:r>
              <w:rPr>
                <w:color w:val="000000"/>
              </w:rPr>
              <w:t> </w:t>
            </w:r>
          </w:p>
        </w:tc>
        <w:tc>
          <w:tcPr>
            <w:tcW w:w="1100" w:type="pct"/>
            <w:tcBorders>
              <w:top w:val="nil"/>
              <w:left w:val="nil"/>
              <w:bottom w:val="single" w:sz="8" w:space="0" w:color="auto"/>
              <w:right w:val="single" w:sz="8" w:space="0" w:color="auto"/>
            </w:tcBorders>
            <w:vAlign w:val="center"/>
            <w:hideMark/>
          </w:tcPr>
          <w:p w:rsidR="005C32A8" w:rsidRDefault="005C32A8">
            <w:pPr>
              <w:pStyle w:val="xmsonormal"/>
              <w:jc w:val="center"/>
            </w:pPr>
            <w:r>
              <w:t>30</w:t>
            </w:r>
            <w:r>
              <w:rPr>
                <w:color w:val="000000"/>
              </w:rPr>
              <w:t> </w:t>
            </w:r>
          </w:p>
        </w:tc>
        <w:tc>
          <w:tcPr>
            <w:tcW w:w="1250" w:type="pct"/>
            <w:tcBorders>
              <w:top w:val="nil"/>
              <w:left w:val="nil"/>
              <w:bottom w:val="single" w:sz="8" w:space="0" w:color="auto"/>
              <w:right w:val="single" w:sz="8" w:space="0" w:color="auto"/>
            </w:tcBorders>
            <w:vAlign w:val="center"/>
            <w:hideMark/>
          </w:tcPr>
          <w:p w:rsidR="005C32A8" w:rsidRDefault="005C32A8">
            <w:pPr>
              <w:pStyle w:val="xmsonormal"/>
              <w:jc w:val="center"/>
            </w:pPr>
            <w:r>
              <w:t>1</w:t>
            </w:r>
            <w:r>
              <w:rPr>
                <w:color w:val="000000"/>
              </w:rPr>
              <w:t> </w:t>
            </w:r>
          </w:p>
        </w:tc>
        <w:tc>
          <w:tcPr>
            <w:tcW w:w="1450" w:type="pct"/>
            <w:tcBorders>
              <w:top w:val="nil"/>
              <w:left w:val="nil"/>
              <w:bottom w:val="single" w:sz="8" w:space="0" w:color="auto"/>
              <w:right w:val="single" w:sz="8" w:space="0" w:color="auto"/>
            </w:tcBorders>
            <w:vAlign w:val="center"/>
            <w:hideMark/>
          </w:tcPr>
          <w:p w:rsidR="005C32A8" w:rsidRDefault="005C32A8">
            <w:pPr>
              <w:pStyle w:val="xmsonormal"/>
              <w:jc w:val="center"/>
            </w:pPr>
            <w:r>
              <w:t>2</w:t>
            </w:r>
            <w:r>
              <w:rPr>
                <w:color w:val="000000"/>
              </w:rPr>
              <w:t> </w:t>
            </w:r>
          </w:p>
        </w:tc>
      </w:tr>
      <w:tr w:rsidR="005C32A8" w:rsidTr="005C32A8">
        <w:trPr>
          <w:trHeight w:val="418"/>
        </w:trPr>
        <w:tc>
          <w:tcPr>
            <w:tcW w:w="1100" w:type="pct"/>
            <w:tcBorders>
              <w:top w:val="nil"/>
              <w:left w:val="single" w:sz="8" w:space="0" w:color="auto"/>
              <w:bottom w:val="single" w:sz="8" w:space="0" w:color="auto"/>
              <w:right w:val="single" w:sz="8" w:space="0" w:color="auto"/>
            </w:tcBorders>
            <w:vAlign w:val="center"/>
            <w:hideMark/>
          </w:tcPr>
          <w:p w:rsidR="005C32A8" w:rsidRDefault="005C32A8">
            <w:pPr>
              <w:pStyle w:val="xmsonormal"/>
              <w:jc w:val="center"/>
            </w:pPr>
            <w:r>
              <w:t>HPH-VCS</w:t>
            </w:r>
            <w:r>
              <w:rPr>
                <w:color w:val="000000"/>
              </w:rPr>
              <w:t> </w:t>
            </w:r>
          </w:p>
        </w:tc>
        <w:tc>
          <w:tcPr>
            <w:tcW w:w="1100" w:type="pct"/>
            <w:tcBorders>
              <w:top w:val="nil"/>
              <w:left w:val="nil"/>
              <w:bottom w:val="single" w:sz="8" w:space="0" w:color="auto"/>
              <w:right w:val="single" w:sz="8" w:space="0" w:color="auto"/>
            </w:tcBorders>
            <w:vAlign w:val="center"/>
            <w:hideMark/>
          </w:tcPr>
          <w:p w:rsidR="005C32A8" w:rsidRDefault="005C32A8">
            <w:pPr>
              <w:pStyle w:val="xmsonormal"/>
              <w:jc w:val="center"/>
            </w:pPr>
            <w:r>
              <w:t>30</w:t>
            </w:r>
            <w:r>
              <w:rPr>
                <w:color w:val="000000"/>
              </w:rPr>
              <w:t> </w:t>
            </w:r>
          </w:p>
        </w:tc>
        <w:tc>
          <w:tcPr>
            <w:tcW w:w="1250" w:type="pct"/>
            <w:tcBorders>
              <w:top w:val="nil"/>
              <w:left w:val="nil"/>
              <w:bottom w:val="single" w:sz="8" w:space="0" w:color="auto"/>
              <w:right w:val="single" w:sz="8" w:space="0" w:color="auto"/>
            </w:tcBorders>
            <w:vAlign w:val="center"/>
            <w:hideMark/>
          </w:tcPr>
          <w:p w:rsidR="005C32A8" w:rsidRDefault="005C32A8">
            <w:pPr>
              <w:pStyle w:val="xmsonormal"/>
              <w:jc w:val="center"/>
            </w:pPr>
            <w:r>
              <w:t>1</w:t>
            </w:r>
            <w:r>
              <w:rPr>
                <w:color w:val="000000"/>
              </w:rPr>
              <w:t> </w:t>
            </w:r>
          </w:p>
        </w:tc>
        <w:tc>
          <w:tcPr>
            <w:tcW w:w="1450" w:type="pct"/>
            <w:tcBorders>
              <w:top w:val="nil"/>
              <w:left w:val="nil"/>
              <w:bottom w:val="single" w:sz="8" w:space="0" w:color="auto"/>
              <w:right w:val="single" w:sz="8" w:space="0" w:color="auto"/>
            </w:tcBorders>
            <w:vAlign w:val="center"/>
            <w:hideMark/>
          </w:tcPr>
          <w:p w:rsidR="005C32A8" w:rsidRDefault="005C32A8">
            <w:pPr>
              <w:pStyle w:val="xmsonormal"/>
              <w:jc w:val="center"/>
            </w:pPr>
            <w:r>
              <w:t>2</w:t>
            </w:r>
            <w:r>
              <w:rPr>
                <w:color w:val="000000"/>
              </w:rPr>
              <w:t> </w:t>
            </w:r>
          </w:p>
        </w:tc>
      </w:tr>
      <w:tr w:rsidR="005C32A8" w:rsidTr="005C32A8">
        <w:trPr>
          <w:trHeight w:val="418"/>
        </w:trPr>
        <w:tc>
          <w:tcPr>
            <w:tcW w:w="1100" w:type="pct"/>
            <w:tcBorders>
              <w:top w:val="nil"/>
              <w:left w:val="single" w:sz="8" w:space="0" w:color="auto"/>
              <w:bottom w:val="single" w:sz="8" w:space="0" w:color="auto"/>
              <w:right w:val="single" w:sz="8" w:space="0" w:color="auto"/>
            </w:tcBorders>
            <w:vAlign w:val="center"/>
            <w:hideMark/>
          </w:tcPr>
          <w:p w:rsidR="005C32A8" w:rsidRDefault="005C32A8">
            <w:pPr>
              <w:pStyle w:val="xmsonormal"/>
              <w:jc w:val="center"/>
            </w:pPr>
            <w:r>
              <w:t>VII-VCS</w:t>
            </w:r>
            <w:r>
              <w:rPr>
                <w:color w:val="000000"/>
              </w:rPr>
              <w:t> </w:t>
            </w:r>
          </w:p>
        </w:tc>
        <w:tc>
          <w:tcPr>
            <w:tcW w:w="1100" w:type="pct"/>
            <w:tcBorders>
              <w:top w:val="nil"/>
              <w:left w:val="nil"/>
              <w:bottom w:val="single" w:sz="8" w:space="0" w:color="auto"/>
              <w:right w:val="single" w:sz="8" w:space="0" w:color="auto"/>
            </w:tcBorders>
            <w:vAlign w:val="center"/>
            <w:hideMark/>
          </w:tcPr>
          <w:p w:rsidR="005C32A8" w:rsidRDefault="005C32A8">
            <w:pPr>
              <w:pStyle w:val="xmsonormal"/>
              <w:jc w:val="center"/>
            </w:pPr>
            <w:r>
              <w:t>25</w:t>
            </w:r>
            <w:r>
              <w:rPr>
                <w:color w:val="000000"/>
              </w:rPr>
              <w:t> </w:t>
            </w:r>
          </w:p>
        </w:tc>
        <w:tc>
          <w:tcPr>
            <w:tcW w:w="1250" w:type="pct"/>
            <w:tcBorders>
              <w:top w:val="nil"/>
              <w:left w:val="nil"/>
              <w:bottom w:val="single" w:sz="8" w:space="0" w:color="auto"/>
              <w:right w:val="single" w:sz="8" w:space="0" w:color="auto"/>
            </w:tcBorders>
            <w:vAlign w:val="center"/>
            <w:hideMark/>
          </w:tcPr>
          <w:p w:rsidR="005C32A8" w:rsidRDefault="005C32A8">
            <w:pPr>
              <w:pStyle w:val="xmsonormal"/>
              <w:jc w:val="center"/>
            </w:pPr>
            <w:r>
              <w:t>1</w:t>
            </w:r>
            <w:r>
              <w:rPr>
                <w:color w:val="000000"/>
              </w:rPr>
              <w:t> </w:t>
            </w:r>
          </w:p>
        </w:tc>
        <w:tc>
          <w:tcPr>
            <w:tcW w:w="1450" w:type="pct"/>
            <w:tcBorders>
              <w:top w:val="nil"/>
              <w:left w:val="nil"/>
              <w:bottom w:val="single" w:sz="8" w:space="0" w:color="auto"/>
              <w:right w:val="single" w:sz="8" w:space="0" w:color="auto"/>
            </w:tcBorders>
            <w:vAlign w:val="center"/>
            <w:hideMark/>
          </w:tcPr>
          <w:p w:rsidR="005C32A8" w:rsidRDefault="005C32A8">
            <w:pPr>
              <w:pStyle w:val="xmsonormal"/>
              <w:jc w:val="center"/>
            </w:pPr>
            <w:r>
              <w:t>2</w:t>
            </w:r>
            <w:r>
              <w:rPr>
                <w:color w:val="000000"/>
              </w:rPr>
              <w:t> </w:t>
            </w:r>
          </w:p>
        </w:tc>
      </w:tr>
    </w:tbl>
    <w:p w:rsidR="005C32A8" w:rsidRDefault="005C32A8" w:rsidP="005C32A8">
      <w:pPr>
        <w:pStyle w:val="xxmsonormal"/>
        <w:spacing w:line="286" w:lineRule="atLeast"/>
        <w:jc w:val="both"/>
        <w:rPr>
          <w:rFonts w:ascii="Calibri" w:hAnsi="Calibri" w:cs="Calibri"/>
          <w:color w:val="000000"/>
          <w:sz w:val="22"/>
          <w:szCs w:val="22"/>
        </w:rPr>
      </w:pPr>
      <w:r>
        <w:rPr>
          <w:b/>
          <w:bCs/>
          <w:color w:val="000000"/>
          <w:spacing w:val="-4"/>
          <w:lang w:val="pt-BR"/>
        </w:rPr>
        <w:t> </w:t>
      </w:r>
    </w:p>
    <w:p w:rsidR="005C32A8" w:rsidRDefault="005C32A8" w:rsidP="005C32A8">
      <w:pPr>
        <w:pStyle w:val="xxmsonormal"/>
        <w:spacing w:line="286" w:lineRule="atLeast"/>
        <w:ind w:firstLine="255"/>
        <w:jc w:val="both"/>
        <w:rPr>
          <w:rFonts w:ascii="Calibri" w:hAnsi="Calibri" w:cs="Calibri"/>
          <w:color w:val="000000"/>
          <w:sz w:val="22"/>
          <w:szCs w:val="22"/>
        </w:rPr>
      </w:pPr>
      <w:r>
        <w:rPr>
          <w:b/>
          <w:bCs/>
          <w:color w:val="000000"/>
          <w:spacing w:val="-4"/>
          <w:lang w:val="pt-BR"/>
        </w:rPr>
        <w:t>3.   </w:t>
      </w:r>
      <w:r>
        <w:rPr>
          <w:rStyle w:val="apple-converted-space"/>
          <w:b/>
          <w:bCs/>
          <w:color w:val="000000"/>
          <w:spacing w:val="-4"/>
          <w:lang w:val="pt-BR"/>
        </w:rPr>
        <w:t> </w:t>
      </w:r>
      <w:r>
        <w:rPr>
          <w:b/>
          <w:bCs/>
          <w:color w:val="000000"/>
          <w:spacing w:val="-4"/>
          <w:lang w:val="pt-BR"/>
        </w:rPr>
        <w:t>Quy định tính thưởng và trả thưởng</w:t>
      </w:r>
      <w:r>
        <w:rPr>
          <w:color w:val="000000"/>
        </w:rPr>
        <w:t> </w:t>
      </w:r>
    </w:p>
    <w:p w:rsidR="005C32A8" w:rsidRDefault="005C32A8" w:rsidP="005C32A8">
      <w:pPr>
        <w:numPr>
          <w:ilvl w:val="1"/>
          <w:numId w:val="1"/>
        </w:numPr>
        <w:spacing w:before="100" w:beforeAutospacing="1" w:after="100" w:afterAutospacing="1"/>
        <w:rPr>
          <w:rFonts w:ascii="Calibri" w:eastAsia="Times New Roman" w:hAnsi="Calibri" w:cs="Calibri"/>
          <w:color w:val="000000"/>
        </w:rPr>
      </w:pPr>
      <w:r>
        <w:rPr>
          <w:rFonts w:eastAsia="Times New Roman"/>
          <w:color w:val="000000"/>
        </w:rPr>
        <w:t>Áp dụng cho vé của khách FIT xuất qua hệ thống đại lý B2B, không áp dụng đối với vé hoàn, vé đoàn (Group booking) hoặc các vé giảm giá (ID promotion code, voucher, combo). </w:t>
      </w:r>
    </w:p>
    <w:p w:rsidR="005C32A8" w:rsidRDefault="005C32A8" w:rsidP="005C32A8">
      <w:pPr>
        <w:numPr>
          <w:ilvl w:val="1"/>
          <w:numId w:val="1"/>
        </w:numPr>
        <w:spacing w:before="100" w:beforeAutospacing="1" w:after="100" w:afterAutospacing="1"/>
        <w:rPr>
          <w:rFonts w:ascii="Calibri" w:eastAsia="Times New Roman" w:hAnsi="Calibri" w:cs="Calibri"/>
          <w:color w:val="000000"/>
        </w:rPr>
      </w:pPr>
      <w:r>
        <w:rPr>
          <w:rFonts w:eastAsia="Times New Roman"/>
          <w:color w:val="000000"/>
        </w:rPr>
        <w:t>Đối soát thưởng theo từng tháng và trả trong tháng kế tiếp, riêng tháng 12 sẽ trả thưởng sau 45 ngày để đối soát các vé hoàn (nếu có). </w:t>
      </w:r>
    </w:p>
    <w:p w:rsidR="005C32A8" w:rsidRDefault="005C32A8" w:rsidP="005C32A8">
      <w:pPr>
        <w:pStyle w:val="xxmsonormal"/>
        <w:spacing w:line="330" w:lineRule="atLeast"/>
        <w:ind w:left="255" w:hanging="15"/>
        <w:jc w:val="both"/>
        <w:rPr>
          <w:rFonts w:ascii="Calibri" w:hAnsi="Calibri" w:cs="Calibri"/>
          <w:color w:val="000000"/>
          <w:sz w:val="22"/>
          <w:szCs w:val="22"/>
        </w:rPr>
      </w:pPr>
      <w:r>
        <w:rPr>
          <w:color w:val="000000"/>
        </w:rPr>
        <w:t>Mọi thắc mắc cần được giải đáp, Quý Đại lý vui lòng liên hệ Tổng đài</w:t>
      </w:r>
      <w:r>
        <w:rPr>
          <w:rStyle w:val="apple-converted-space"/>
          <w:color w:val="000000"/>
        </w:rPr>
        <w:t> </w:t>
      </w:r>
      <w:r>
        <w:rPr>
          <w:color w:val="C82613"/>
          <w:sz w:val="32"/>
          <w:szCs w:val="32"/>
        </w:rPr>
        <w:t>19001166</w:t>
      </w:r>
      <w:r>
        <w:rPr>
          <w:rStyle w:val="apple-converted-space"/>
          <w:color w:val="C82613"/>
          <w:sz w:val="32"/>
          <w:szCs w:val="32"/>
        </w:rPr>
        <w:t> </w:t>
      </w:r>
      <w:r>
        <w:rPr>
          <w:color w:val="000000"/>
        </w:rPr>
        <w:t>hoặc Chuyên viên phụ trách đại lý để được hỗ trợ. </w:t>
      </w:r>
    </w:p>
    <w:p w:rsidR="005C32A8" w:rsidRDefault="005C32A8" w:rsidP="005C32A8">
      <w:pPr>
        <w:pStyle w:val="xxmsonormal"/>
        <w:spacing w:line="330" w:lineRule="atLeast"/>
        <w:ind w:firstLine="255"/>
        <w:jc w:val="both"/>
        <w:rPr>
          <w:rFonts w:ascii="Calibri" w:hAnsi="Calibri" w:cs="Calibri"/>
          <w:color w:val="000000"/>
          <w:sz w:val="22"/>
          <w:szCs w:val="22"/>
        </w:rPr>
      </w:pPr>
      <w:r>
        <w:rPr>
          <w:color w:val="000000"/>
        </w:rPr>
        <w:t>BAV rất mong tiếp tục nhận được sự ủng hộ tối đa của Quý Đại lý. </w:t>
      </w:r>
    </w:p>
    <w:p w:rsidR="005C32A8" w:rsidRDefault="005C32A8" w:rsidP="005C32A8">
      <w:pPr>
        <w:pStyle w:val="xxmsonormal"/>
        <w:spacing w:line="330" w:lineRule="atLeast"/>
        <w:jc w:val="center"/>
        <w:rPr>
          <w:rFonts w:ascii="Calibri" w:hAnsi="Calibri" w:cs="Calibri"/>
          <w:color w:val="000000"/>
          <w:sz w:val="22"/>
          <w:szCs w:val="22"/>
        </w:rPr>
      </w:pPr>
      <w:r>
        <w:rPr>
          <w:color w:val="000000"/>
        </w:rPr>
        <w:lastRenderedPageBreak/>
        <w:t>Trân trọng thông báo và cảm ơn! </w:t>
      </w:r>
    </w:p>
    <w:p w:rsidR="00670F6D" w:rsidRDefault="00670F6D">
      <w:bookmarkStart w:id="0" w:name="_GoBack"/>
      <w:bookmarkEnd w:id="0"/>
    </w:p>
    <w:sectPr w:rsidR="00670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A772A"/>
    <w:multiLevelType w:val="multilevel"/>
    <w:tmpl w:val="D4F09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A8"/>
    <w:rsid w:val="005C32A8"/>
    <w:rsid w:val="0067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6ADF-F0E2-4A5B-9572-FBCB27A1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2A8"/>
  </w:style>
  <w:style w:type="paragraph" w:customStyle="1" w:styleId="xxmsonormal">
    <w:name w:val="x_xmsonormal"/>
    <w:basedOn w:val="Normal"/>
    <w:uiPriority w:val="99"/>
    <w:semiHidden/>
    <w:rsid w:val="005C32A8"/>
  </w:style>
  <w:style w:type="paragraph" w:customStyle="1" w:styleId="xxmsolistparagraph">
    <w:name w:val="x_xmsolistparagraph"/>
    <w:basedOn w:val="Normal"/>
    <w:uiPriority w:val="99"/>
    <w:semiHidden/>
    <w:rsid w:val="005C32A8"/>
  </w:style>
  <w:style w:type="paragraph" w:customStyle="1" w:styleId="xmsonormal">
    <w:name w:val="x_msonormal"/>
    <w:basedOn w:val="Normal"/>
    <w:uiPriority w:val="99"/>
    <w:semiHidden/>
    <w:rsid w:val="005C32A8"/>
  </w:style>
  <w:style w:type="character" w:customStyle="1" w:styleId="apple-converted-space">
    <w:name w:val="apple-converted-space"/>
    <w:basedOn w:val="DefaultParagraphFont"/>
    <w:rsid w:val="005C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3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2020-09-21T01:59:00Z</dcterms:created>
  <dcterms:modified xsi:type="dcterms:W3CDTF">2020-09-21T01:59:00Z</dcterms:modified>
</cp:coreProperties>
</file>